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741A" w14:textId="014B12A8" w:rsidR="0058268A" w:rsidRDefault="0058268A">
      <w:pPr>
        <w:rPr>
          <w:b/>
        </w:rPr>
      </w:pPr>
      <w:r>
        <w:rPr>
          <w:b/>
        </w:rPr>
        <w:t>Trykkfeilene er rettet i 3</w:t>
      </w:r>
      <w:r>
        <w:rPr>
          <w:b/>
        </w:rPr>
        <w:t>. opplag 202</w:t>
      </w:r>
      <w:r>
        <w:rPr>
          <w:b/>
        </w:rPr>
        <w:t>2</w:t>
      </w:r>
    </w:p>
    <w:p w14:paraId="2DEE9F8B" w14:textId="3817700D" w:rsidR="002527C2" w:rsidRDefault="00555B5A">
      <w:pPr>
        <w:rPr>
          <w:b/>
        </w:rPr>
      </w:pPr>
      <w:r w:rsidRPr="00555B5A">
        <w:rPr>
          <w:b/>
        </w:rPr>
        <w:t>Trykkfeil</w:t>
      </w:r>
      <w:r w:rsidR="002D17C6">
        <w:rPr>
          <w:b/>
        </w:rPr>
        <w:t xml:space="preserve"> i 4</w:t>
      </w:r>
      <w:r w:rsidR="009C6D80">
        <w:rPr>
          <w:b/>
        </w:rPr>
        <w:t>.</w:t>
      </w:r>
      <w:r w:rsidR="002D17C6">
        <w:rPr>
          <w:b/>
        </w:rPr>
        <w:t xml:space="preserve"> utgave</w:t>
      </w:r>
      <w:r w:rsidR="00BA1300">
        <w:rPr>
          <w:b/>
        </w:rPr>
        <w:t>,</w:t>
      </w:r>
      <w:r w:rsidR="002D17C6">
        <w:rPr>
          <w:b/>
        </w:rPr>
        <w:t xml:space="preserve"> </w:t>
      </w:r>
      <w:r w:rsidR="005A28D8">
        <w:rPr>
          <w:b/>
        </w:rPr>
        <w:t>2</w:t>
      </w:r>
      <w:r w:rsidR="009C6D80">
        <w:rPr>
          <w:b/>
        </w:rPr>
        <w:t>. opplag</w:t>
      </w:r>
      <w:r w:rsidR="0058268A">
        <w:rPr>
          <w:b/>
        </w:rPr>
        <w:t xml:space="preserve"> 2020</w:t>
      </w:r>
      <w:r w:rsidR="0065114D">
        <w:rPr>
          <w:b/>
        </w:rPr>
        <w:t xml:space="preserve"> </w:t>
      </w:r>
    </w:p>
    <w:p w14:paraId="756B8E45" w14:textId="3DBC6183" w:rsidR="002D17C6" w:rsidRDefault="002D17C6">
      <w:r w:rsidRPr="005A28D8">
        <w:rPr>
          <w:i/>
          <w:iCs/>
        </w:rPr>
        <w:t>Side 316, feil i to formler</w:t>
      </w:r>
      <w:r>
        <w:t>. De korrekte formlene er gjengitt i teksten nedenfor. Bruk av regneformelen på side 316 skal gi r = 0,398, mens bruk av korrekte regneformelen gir r=0,525, som oppgitt i boka.</w:t>
      </w:r>
    </w:p>
    <w:p w14:paraId="674FD6D0" w14:textId="5D882A88" w:rsidR="002D17C6" w:rsidRDefault="002D17C6" w:rsidP="002D17C6">
      <w:r>
        <w:t xml:space="preserve">«En av de mest vanlige regneformlene er basert på at Pearsons </w:t>
      </w:r>
      <w:r w:rsidRPr="00D44914">
        <w:rPr>
          <w:i/>
        </w:rPr>
        <w:t>r</w:t>
      </w:r>
      <w:r>
        <w:t xml:space="preserve"> er gjennomsnittet av produktene av to standardiserte variabler:</w:t>
      </w:r>
    </w:p>
    <w:p w14:paraId="7CF0E604" w14:textId="77777777" w:rsidR="002D17C6" w:rsidRDefault="002D17C6" w:rsidP="002D17C6">
      <w:r w:rsidRPr="00BE20BC">
        <w:rPr>
          <w:position w:val="-24"/>
        </w:rPr>
        <w:object w:dxaOrig="1500" w:dyaOrig="680" w14:anchorId="46E12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.75pt" o:ole="">
            <v:imagedata r:id="rId6" o:title=""/>
          </v:shape>
          <o:OLEObject Type="Embed" ProgID="Equation.DSMT4" ShapeID="_x0000_i1025" DrawAspect="Content" ObjectID="_1703331873" r:id="rId7"/>
        </w:object>
      </w:r>
      <w:r>
        <w:t xml:space="preserve">, der </w:t>
      </w:r>
      <w:r w:rsidRPr="00BE20BC">
        <w:rPr>
          <w:position w:val="-30"/>
        </w:rPr>
        <w:object w:dxaOrig="2799" w:dyaOrig="700" w14:anchorId="45BF2468">
          <v:shape id="_x0000_i1026" type="#_x0000_t75" style="width:141pt;height:35.25pt" o:ole="">
            <v:imagedata r:id="rId8" o:title=""/>
          </v:shape>
          <o:OLEObject Type="Embed" ProgID="Equation.DSMT4" ShapeID="_x0000_i1026" DrawAspect="Content" ObjectID="_1703331874" r:id="rId9"/>
        </w:object>
      </w:r>
      <w:r>
        <w:t xml:space="preserve"> er de standardiserte versjonene av </w:t>
      </w:r>
      <w:r w:rsidRPr="00FA3D80">
        <w:rPr>
          <w:i/>
        </w:rPr>
        <w:t>X</w:t>
      </w:r>
      <w:r>
        <w:t xml:space="preserve"> og </w:t>
      </w:r>
      <w:r w:rsidRPr="00FA3D80">
        <w:rPr>
          <w:i/>
        </w:rPr>
        <w:t>Y</w:t>
      </w:r>
      <w:r>
        <w:t>.</w:t>
      </w:r>
    </w:p>
    <w:p w14:paraId="40B51C57" w14:textId="77777777" w:rsidR="002D17C6" w:rsidRDefault="002D17C6" w:rsidP="002D17C6">
      <w:r>
        <w:t>Dette er utgangspunktet for denne regneformelen:</w:t>
      </w:r>
    </w:p>
    <w:p w14:paraId="7F0D1D3A" w14:textId="77777777" w:rsidR="002D17C6" w:rsidRPr="00FA3D80" w:rsidRDefault="002D17C6" w:rsidP="002D17C6">
      <w:r w:rsidRPr="00BE7F49">
        <w:rPr>
          <w:position w:val="-78"/>
        </w:rPr>
        <w:object w:dxaOrig="4300" w:dyaOrig="1500" w14:anchorId="50E47456">
          <v:shape id="_x0000_i1027" type="#_x0000_t75" style="width:215.25pt;height:75pt" o:ole="">
            <v:imagedata r:id="rId10" o:title=""/>
          </v:shape>
          <o:OLEObject Type="Embed" ProgID="Equation.DSMT4" ShapeID="_x0000_i1027" DrawAspect="Content" ObjectID="_1703331875" r:id="rId11"/>
        </w:object>
      </w:r>
      <w:r>
        <w:t xml:space="preserve"> </w:t>
      </w:r>
    </w:p>
    <w:p w14:paraId="3527424A" w14:textId="00289F50" w:rsidR="002D17C6" w:rsidRDefault="002D17C6" w:rsidP="002D17C6">
      <w:r>
        <w:t xml:space="preserve">La oss se hvordan korrelasjonen mellom timelønn og antall år utdanning ut over niårig skole for tolv lønnstakere kan beregnes ved hjelp av denne regneformelen. Utvalget er hentet fra Arbeids- og bedriftsundersøkelsen fra 1989. De to variablene samt de mellomliggende regneoperasjonene er gjengitt i tabell 15.2. Kolonnesummene settes inn i regneformelen, som gir </w:t>
      </w:r>
      <w:r w:rsidRPr="00FA3D80">
        <w:rPr>
          <w:i/>
        </w:rPr>
        <w:t>r</w:t>
      </w:r>
      <w:r>
        <w:t xml:space="preserve"> = 0,525.»</w:t>
      </w:r>
    </w:p>
    <w:p w14:paraId="31745FFC" w14:textId="5893088F" w:rsidR="009C6D80" w:rsidRDefault="009C6D80" w:rsidP="002D17C6"/>
    <w:p w14:paraId="6707457B" w14:textId="715014C8" w:rsidR="005A28D8" w:rsidRDefault="009C6D80" w:rsidP="009C6D80">
      <w:pPr>
        <w:rPr>
          <w:i/>
          <w:iCs/>
        </w:rPr>
      </w:pPr>
      <w:r w:rsidRPr="009C6D80">
        <w:rPr>
          <w:i/>
          <w:iCs/>
        </w:rPr>
        <w:t>Side 455</w:t>
      </w:r>
      <w:r w:rsidR="0065114D">
        <w:rPr>
          <w:i/>
          <w:iCs/>
        </w:rPr>
        <w:t>, fra</w:t>
      </w:r>
      <w:r>
        <w:rPr>
          <w:i/>
          <w:iCs/>
        </w:rPr>
        <w:t xml:space="preserve"> linje 1:</w:t>
      </w:r>
      <w:r w:rsidRPr="009C6D80">
        <w:rPr>
          <w:i/>
          <w:iCs/>
        </w:rPr>
        <w:t xml:space="preserve"> tabell 20.1 mangler.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765"/>
        <w:gridCol w:w="1298"/>
        <w:gridCol w:w="1489"/>
      </w:tblGrid>
      <w:tr w:rsidR="009C6D80" w:rsidRPr="0065114D" w14:paraId="5A303E64" w14:textId="77777777" w:rsidTr="000B1FA4">
        <w:trPr>
          <w:trHeight w:val="395"/>
        </w:trPr>
        <w:tc>
          <w:tcPr>
            <w:tcW w:w="2859" w:type="dxa"/>
            <w:tcBorders>
              <w:bottom w:val="single" w:sz="6" w:space="0" w:color="00B298"/>
            </w:tcBorders>
          </w:tcPr>
          <w:p w14:paraId="4855B676" w14:textId="77777777" w:rsidR="009C6D80" w:rsidRPr="0065114D" w:rsidRDefault="009C6D80" w:rsidP="000B1FA4">
            <w:pPr>
              <w:pStyle w:val="TableParagraph"/>
              <w:spacing w:before="0"/>
              <w:ind w:lef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65114D">
              <w:rPr>
                <w:rFonts w:asciiTheme="minorHAnsi" w:hAnsiTheme="minorHAnsi" w:cstheme="minorHAnsi"/>
                <w:b/>
                <w:color w:val="2E3092"/>
                <w:w w:val="90"/>
                <w:sz w:val="20"/>
                <w:szCs w:val="20"/>
              </w:rPr>
              <w:t>Tabell</w:t>
            </w:r>
            <w:r w:rsidRPr="0065114D">
              <w:rPr>
                <w:rFonts w:asciiTheme="minorHAnsi" w:hAnsiTheme="minorHAnsi" w:cstheme="minorHAnsi"/>
                <w:b/>
                <w:color w:val="2E3092"/>
                <w:spacing w:val="-11"/>
                <w:w w:val="90"/>
                <w:sz w:val="20"/>
                <w:szCs w:val="20"/>
              </w:rPr>
              <w:t xml:space="preserve"> </w:t>
            </w:r>
            <w:r w:rsidRPr="0065114D">
              <w:rPr>
                <w:rFonts w:asciiTheme="minorHAnsi" w:hAnsiTheme="minorHAnsi" w:cstheme="minorHAnsi"/>
                <w:b/>
                <w:color w:val="2E3092"/>
                <w:w w:val="90"/>
                <w:sz w:val="20"/>
                <w:szCs w:val="20"/>
              </w:rPr>
              <w:t>20.1</w:t>
            </w:r>
            <w:r w:rsidRPr="0065114D">
              <w:rPr>
                <w:rFonts w:asciiTheme="minorHAnsi" w:hAnsiTheme="minorHAnsi" w:cstheme="minorHAnsi"/>
                <w:b/>
                <w:color w:val="2E3092"/>
                <w:spacing w:val="-11"/>
                <w:w w:val="90"/>
                <w:sz w:val="20"/>
                <w:szCs w:val="20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90"/>
                <w:sz w:val="20"/>
                <w:szCs w:val="20"/>
              </w:rPr>
              <w:t>Forfremming</w:t>
            </w:r>
            <w:r w:rsidRPr="0065114D">
              <w:rPr>
                <w:rFonts w:asciiTheme="minorHAnsi" w:hAnsiTheme="minorHAnsi" w:cstheme="minorHAns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90"/>
                <w:sz w:val="20"/>
                <w:szCs w:val="20"/>
              </w:rPr>
              <w:t>etter</w:t>
            </w:r>
            <w:r w:rsidRPr="0065114D">
              <w:rPr>
                <w:rFonts w:asciiTheme="minorHAnsi" w:hAnsiTheme="minorHAnsi" w:cstheme="minorHAnsi"/>
                <w:color w:val="231F20"/>
                <w:spacing w:val="-5"/>
                <w:w w:val="90"/>
                <w:sz w:val="20"/>
                <w:szCs w:val="20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90"/>
                <w:sz w:val="20"/>
                <w:szCs w:val="20"/>
              </w:rPr>
              <w:t>kjønn</w:t>
            </w:r>
          </w:p>
        </w:tc>
        <w:tc>
          <w:tcPr>
            <w:tcW w:w="3552" w:type="dxa"/>
            <w:gridSpan w:val="3"/>
            <w:tcBorders>
              <w:bottom w:val="single" w:sz="6" w:space="0" w:color="00B298"/>
            </w:tcBorders>
          </w:tcPr>
          <w:p w14:paraId="1B45A74F" w14:textId="4CECBD22" w:rsidR="009C6D80" w:rsidRPr="0065114D" w:rsidRDefault="0065114D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</w:t>
            </w:r>
          </w:p>
        </w:tc>
      </w:tr>
      <w:tr w:rsidR="009C6D80" w:rsidRPr="0065114D" w14:paraId="1DC26129" w14:textId="77777777" w:rsidTr="000B1FA4">
        <w:trPr>
          <w:trHeight w:val="363"/>
        </w:trPr>
        <w:tc>
          <w:tcPr>
            <w:tcW w:w="2859" w:type="dxa"/>
            <w:tcBorders>
              <w:top w:val="single" w:sz="6" w:space="0" w:color="00B298"/>
              <w:bottom w:val="single" w:sz="6" w:space="0" w:color="00B298"/>
            </w:tcBorders>
          </w:tcPr>
          <w:p w14:paraId="07D6611E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5" w:type="dxa"/>
            <w:tcBorders>
              <w:top w:val="single" w:sz="6" w:space="0" w:color="00B298"/>
              <w:bottom w:val="single" w:sz="6" w:space="0" w:color="00B298"/>
            </w:tcBorders>
          </w:tcPr>
          <w:p w14:paraId="465866C2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B298"/>
              <w:bottom w:val="single" w:sz="6" w:space="0" w:color="00B298"/>
            </w:tcBorders>
          </w:tcPr>
          <w:p w14:paraId="486AF66B" w14:textId="77777777" w:rsidR="009C6D80" w:rsidRPr="0065114D" w:rsidRDefault="009C6D80" w:rsidP="000B1FA4">
            <w:pPr>
              <w:pStyle w:val="TableParagraph"/>
              <w:spacing w:before="111"/>
              <w:ind w:right="409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Menn</w:t>
            </w:r>
          </w:p>
        </w:tc>
        <w:tc>
          <w:tcPr>
            <w:tcW w:w="1489" w:type="dxa"/>
            <w:tcBorders>
              <w:top w:val="single" w:sz="6" w:space="0" w:color="00B298"/>
              <w:bottom w:val="single" w:sz="6" w:space="0" w:color="00B298"/>
            </w:tcBorders>
          </w:tcPr>
          <w:p w14:paraId="4A7C4DD2" w14:textId="77777777" w:rsidR="009C6D80" w:rsidRPr="0065114D" w:rsidRDefault="009C6D80" w:rsidP="000B1FA4">
            <w:pPr>
              <w:pStyle w:val="TableParagraph"/>
              <w:spacing w:before="111"/>
              <w:ind w:right="548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</w:rPr>
              <w:t>Kvinner</w:t>
            </w:r>
          </w:p>
        </w:tc>
      </w:tr>
      <w:tr w:rsidR="009C6D80" w:rsidRPr="0065114D" w14:paraId="304C54DE" w14:textId="77777777" w:rsidTr="000B1FA4">
        <w:trPr>
          <w:trHeight w:val="287"/>
        </w:trPr>
        <w:tc>
          <w:tcPr>
            <w:tcW w:w="2859" w:type="dxa"/>
            <w:tcBorders>
              <w:top w:val="single" w:sz="6" w:space="0" w:color="00B298"/>
            </w:tcBorders>
          </w:tcPr>
          <w:p w14:paraId="45161CA3" w14:textId="77777777" w:rsidR="009C6D80" w:rsidRPr="0065114D" w:rsidRDefault="009C6D80" w:rsidP="000B1FA4">
            <w:pPr>
              <w:pStyle w:val="TableParagraph"/>
              <w:spacing w:before="43"/>
              <w:ind w:left="4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</w:rPr>
              <w:t>Forfremmet:</w:t>
            </w:r>
          </w:p>
        </w:tc>
        <w:tc>
          <w:tcPr>
            <w:tcW w:w="765" w:type="dxa"/>
            <w:tcBorders>
              <w:top w:val="single" w:sz="6" w:space="0" w:color="00B298"/>
            </w:tcBorders>
          </w:tcPr>
          <w:p w14:paraId="7C5582A3" w14:textId="77777777" w:rsidR="009C6D80" w:rsidRPr="0065114D" w:rsidRDefault="009C6D80" w:rsidP="000B1FA4">
            <w:pPr>
              <w:pStyle w:val="TableParagraph"/>
              <w:spacing w:before="43"/>
              <w:ind w:left="35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20"/>
                <w:sz w:val="17"/>
              </w:rPr>
              <w:t>Ja</w:t>
            </w:r>
          </w:p>
        </w:tc>
        <w:tc>
          <w:tcPr>
            <w:tcW w:w="1298" w:type="dxa"/>
            <w:tcBorders>
              <w:top w:val="single" w:sz="6" w:space="0" w:color="00B298"/>
            </w:tcBorders>
          </w:tcPr>
          <w:p w14:paraId="778196DB" w14:textId="77777777" w:rsidR="009C6D80" w:rsidRPr="0065114D" w:rsidRDefault="009C6D80" w:rsidP="000B1FA4">
            <w:pPr>
              <w:pStyle w:val="TableParagraph"/>
              <w:spacing w:before="43"/>
              <w:ind w:right="380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933</w:t>
            </w:r>
          </w:p>
        </w:tc>
        <w:tc>
          <w:tcPr>
            <w:tcW w:w="1489" w:type="dxa"/>
            <w:tcBorders>
              <w:top w:val="single" w:sz="6" w:space="0" w:color="00B298"/>
            </w:tcBorders>
          </w:tcPr>
          <w:p w14:paraId="41854246" w14:textId="77777777" w:rsidR="009C6D80" w:rsidRPr="0065114D" w:rsidRDefault="009C6D80" w:rsidP="000B1FA4">
            <w:pPr>
              <w:pStyle w:val="TableParagraph"/>
              <w:spacing w:before="43"/>
              <w:ind w:right="564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626</w:t>
            </w:r>
          </w:p>
        </w:tc>
      </w:tr>
      <w:tr w:rsidR="009C6D80" w:rsidRPr="0065114D" w14:paraId="630AD348" w14:textId="77777777" w:rsidTr="000B1FA4">
        <w:trPr>
          <w:trHeight w:val="288"/>
        </w:trPr>
        <w:tc>
          <w:tcPr>
            <w:tcW w:w="2859" w:type="dxa"/>
          </w:tcPr>
          <w:p w14:paraId="7B608F87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5" w:type="dxa"/>
          </w:tcPr>
          <w:p w14:paraId="426F27CD" w14:textId="77777777" w:rsidR="009C6D80" w:rsidRPr="0065114D" w:rsidRDefault="009C6D80" w:rsidP="000B1FA4">
            <w:pPr>
              <w:pStyle w:val="TableParagraph"/>
              <w:spacing w:before="45"/>
              <w:ind w:left="38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</w:rPr>
              <w:t>Nei</w:t>
            </w:r>
          </w:p>
        </w:tc>
        <w:tc>
          <w:tcPr>
            <w:tcW w:w="1298" w:type="dxa"/>
          </w:tcPr>
          <w:p w14:paraId="3D56C3C2" w14:textId="77777777" w:rsidR="009C6D80" w:rsidRPr="0065114D" w:rsidRDefault="009C6D80" w:rsidP="000B1FA4">
            <w:pPr>
              <w:pStyle w:val="TableParagraph"/>
              <w:spacing w:before="45"/>
              <w:ind w:right="385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1260</w:t>
            </w:r>
          </w:p>
        </w:tc>
        <w:tc>
          <w:tcPr>
            <w:tcW w:w="1489" w:type="dxa"/>
          </w:tcPr>
          <w:p w14:paraId="44A0AC9D" w14:textId="77777777" w:rsidR="009C6D80" w:rsidRPr="0065114D" w:rsidRDefault="009C6D80" w:rsidP="000B1FA4">
            <w:pPr>
              <w:pStyle w:val="TableParagraph"/>
              <w:spacing w:before="45"/>
              <w:ind w:right="568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1308</w:t>
            </w:r>
          </w:p>
        </w:tc>
      </w:tr>
      <w:tr w:rsidR="009C6D80" w:rsidRPr="0065114D" w14:paraId="55BD7C5B" w14:textId="77777777" w:rsidTr="000B1FA4">
        <w:trPr>
          <w:trHeight w:val="287"/>
        </w:trPr>
        <w:tc>
          <w:tcPr>
            <w:tcW w:w="2859" w:type="dxa"/>
          </w:tcPr>
          <w:p w14:paraId="31585F9A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5" w:type="dxa"/>
          </w:tcPr>
          <w:p w14:paraId="265866BF" w14:textId="77777777" w:rsidR="009C6D80" w:rsidRPr="0065114D" w:rsidRDefault="009C6D80" w:rsidP="000B1FA4">
            <w:pPr>
              <w:pStyle w:val="TableParagraph"/>
              <w:ind w:left="35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Sum</w:t>
            </w:r>
          </w:p>
        </w:tc>
        <w:tc>
          <w:tcPr>
            <w:tcW w:w="1298" w:type="dxa"/>
          </w:tcPr>
          <w:p w14:paraId="286A7206" w14:textId="77777777" w:rsidR="009C6D80" w:rsidRPr="0065114D" w:rsidRDefault="009C6D80" w:rsidP="000B1FA4">
            <w:pPr>
              <w:pStyle w:val="TableParagraph"/>
              <w:ind w:right="380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2193</w:t>
            </w:r>
          </w:p>
        </w:tc>
        <w:tc>
          <w:tcPr>
            <w:tcW w:w="1489" w:type="dxa"/>
          </w:tcPr>
          <w:p w14:paraId="16A51258" w14:textId="77777777" w:rsidR="009C6D80" w:rsidRPr="0065114D" w:rsidRDefault="009C6D80" w:rsidP="000B1FA4">
            <w:pPr>
              <w:pStyle w:val="TableParagraph"/>
              <w:ind w:right="568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1934</w:t>
            </w:r>
          </w:p>
        </w:tc>
      </w:tr>
      <w:tr w:rsidR="009C6D80" w:rsidRPr="0065114D" w14:paraId="771401EC" w14:textId="77777777" w:rsidTr="000B1FA4">
        <w:trPr>
          <w:trHeight w:val="287"/>
        </w:trPr>
        <w:tc>
          <w:tcPr>
            <w:tcW w:w="2859" w:type="dxa"/>
          </w:tcPr>
          <w:p w14:paraId="61588659" w14:textId="77777777" w:rsidR="009C6D80" w:rsidRPr="0065114D" w:rsidRDefault="009C6D80" w:rsidP="000B1FA4">
            <w:pPr>
              <w:pStyle w:val="TableParagraph"/>
              <w:rPr>
                <w:rFonts w:asciiTheme="minorHAnsi" w:hAnsiTheme="minorHAnsi" w:cstheme="minorHAnsi"/>
                <w:sz w:val="17"/>
                <w:lang w:val="nb-NO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  <w:lang w:val="nb-NO"/>
              </w:rPr>
              <w:t>Odds:</w:t>
            </w:r>
            <w:r w:rsidRPr="0065114D">
              <w:rPr>
                <w:rFonts w:asciiTheme="minorHAnsi" w:hAnsiTheme="minorHAnsi" w:cstheme="minorHAnsi"/>
                <w:color w:val="231F20"/>
                <w:spacing w:val="-18"/>
                <w:w w:val="110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  <w:lang w:val="nb-NO"/>
              </w:rPr>
              <w:t>antall</w:t>
            </w:r>
            <w:r w:rsidRPr="0065114D">
              <w:rPr>
                <w:rFonts w:asciiTheme="minorHAnsi" w:hAnsiTheme="minorHAnsi" w:cstheme="minorHAnsi"/>
                <w:color w:val="231F20"/>
                <w:spacing w:val="-17"/>
                <w:w w:val="110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  <w:lang w:val="nb-NO"/>
              </w:rPr>
              <w:t>Ja</w:t>
            </w:r>
            <w:r w:rsidRPr="0065114D">
              <w:rPr>
                <w:rFonts w:asciiTheme="minorHAnsi" w:hAnsiTheme="minorHAnsi" w:cstheme="minorHAnsi"/>
                <w:color w:val="231F20"/>
                <w:spacing w:val="-17"/>
                <w:w w:val="110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  <w:lang w:val="nb-NO"/>
              </w:rPr>
              <w:t>/</w:t>
            </w:r>
            <w:r w:rsidRPr="0065114D">
              <w:rPr>
                <w:rFonts w:asciiTheme="minorHAnsi" w:hAnsiTheme="minorHAnsi" w:cstheme="minorHAnsi"/>
                <w:color w:val="231F20"/>
                <w:spacing w:val="-17"/>
                <w:w w:val="110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  <w:lang w:val="nb-NO"/>
              </w:rPr>
              <w:t>antall</w:t>
            </w:r>
            <w:r w:rsidRPr="0065114D">
              <w:rPr>
                <w:rFonts w:asciiTheme="minorHAnsi" w:hAnsiTheme="minorHAnsi" w:cstheme="minorHAnsi"/>
                <w:color w:val="231F20"/>
                <w:spacing w:val="-18"/>
                <w:w w:val="110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  <w:lang w:val="nb-NO"/>
              </w:rPr>
              <w:t>Nei:</w:t>
            </w:r>
          </w:p>
        </w:tc>
        <w:tc>
          <w:tcPr>
            <w:tcW w:w="765" w:type="dxa"/>
          </w:tcPr>
          <w:p w14:paraId="1C26F5A0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lang w:val="nb-NO"/>
              </w:rPr>
            </w:pPr>
          </w:p>
        </w:tc>
        <w:tc>
          <w:tcPr>
            <w:tcW w:w="1298" w:type="dxa"/>
          </w:tcPr>
          <w:p w14:paraId="1DA9C72E" w14:textId="77777777" w:rsidR="009C6D80" w:rsidRPr="0065114D" w:rsidRDefault="009C6D80" w:rsidP="000B1FA4">
            <w:pPr>
              <w:pStyle w:val="TableParagraph"/>
              <w:ind w:right="385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0,740</w:t>
            </w:r>
          </w:p>
        </w:tc>
        <w:tc>
          <w:tcPr>
            <w:tcW w:w="1489" w:type="dxa"/>
          </w:tcPr>
          <w:p w14:paraId="154AF134" w14:textId="77777777" w:rsidR="009C6D80" w:rsidRPr="0065114D" w:rsidRDefault="009C6D80" w:rsidP="000B1FA4">
            <w:pPr>
              <w:pStyle w:val="TableParagraph"/>
              <w:ind w:right="564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0,479</w:t>
            </w:r>
          </w:p>
        </w:tc>
      </w:tr>
      <w:tr w:rsidR="009C6D80" w:rsidRPr="0065114D" w14:paraId="48D294E4" w14:textId="77777777" w:rsidTr="000B1FA4">
        <w:trPr>
          <w:trHeight w:val="287"/>
        </w:trPr>
        <w:tc>
          <w:tcPr>
            <w:tcW w:w="2859" w:type="dxa"/>
          </w:tcPr>
          <w:p w14:paraId="559AB71D" w14:textId="77777777" w:rsidR="009C6D80" w:rsidRPr="0065114D" w:rsidRDefault="009C6D80" w:rsidP="000B1FA4">
            <w:pPr>
              <w:pStyle w:val="TableParagraph"/>
              <w:rPr>
                <w:rFonts w:asciiTheme="minorHAnsi" w:hAnsiTheme="minorHAnsi" w:cstheme="minorHAnsi"/>
                <w:sz w:val="17"/>
                <w:lang w:val="nb-NO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  <w:lang w:val="nb-NO"/>
              </w:rPr>
              <w:t>OR:</w:t>
            </w:r>
            <w:r w:rsidRPr="0065114D">
              <w:rPr>
                <w:rFonts w:asciiTheme="minorHAnsi" w:hAnsiTheme="minorHAnsi" w:cstheme="minorHAnsi"/>
                <w:color w:val="231F20"/>
                <w:spacing w:val="-17"/>
                <w:w w:val="105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  <w:lang w:val="nb-NO"/>
              </w:rPr>
              <w:t>Odds</w:t>
            </w:r>
            <w:r w:rsidRPr="0065114D">
              <w:rPr>
                <w:rFonts w:asciiTheme="minorHAnsi" w:hAnsiTheme="minorHAnsi" w:cstheme="minorHAnsi"/>
                <w:color w:val="231F20"/>
                <w:spacing w:val="-16"/>
                <w:w w:val="105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  <w:lang w:val="nb-NO"/>
              </w:rPr>
              <w:t>kvinner</w:t>
            </w:r>
            <w:r w:rsidRPr="0065114D">
              <w:rPr>
                <w:rFonts w:asciiTheme="minorHAnsi" w:hAnsiTheme="minorHAnsi" w:cstheme="minorHAnsi"/>
                <w:color w:val="231F20"/>
                <w:spacing w:val="-16"/>
                <w:w w:val="105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  <w:lang w:val="nb-NO"/>
              </w:rPr>
              <w:t>/</w:t>
            </w:r>
            <w:r w:rsidRPr="0065114D">
              <w:rPr>
                <w:rFonts w:asciiTheme="minorHAnsi" w:hAnsiTheme="minorHAnsi" w:cstheme="minorHAnsi"/>
                <w:color w:val="231F20"/>
                <w:spacing w:val="-16"/>
                <w:w w:val="105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  <w:lang w:val="nb-NO"/>
              </w:rPr>
              <w:t>Odds</w:t>
            </w:r>
            <w:r w:rsidRPr="0065114D">
              <w:rPr>
                <w:rFonts w:asciiTheme="minorHAnsi" w:hAnsiTheme="minorHAnsi" w:cstheme="minorHAnsi"/>
                <w:color w:val="231F20"/>
                <w:spacing w:val="-16"/>
                <w:w w:val="105"/>
                <w:sz w:val="17"/>
                <w:lang w:val="nb-NO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  <w:lang w:val="nb-NO"/>
              </w:rPr>
              <w:t>menn:</w:t>
            </w:r>
          </w:p>
        </w:tc>
        <w:tc>
          <w:tcPr>
            <w:tcW w:w="765" w:type="dxa"/>
          </w:tcPr>
          <w:p w14:paraId="2B6FC175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lang w:val="nb-NO"/>
              </w:rPr>
            </w:pPr>
          </w:p>
        </w:tc>
        <w:tc>
          <w:tcPr>
            <w:tcW w:w="1298" w:type="dxa"/>
          </w:tcPr>
          <w:p w14:paraId="795D6AE2" w14:textId="77777777" w:rsidR="009C6D80" w:rsidRPr="0065114D" w:rsidRDefault="009C6D80" w:rsidP="000B1FA4">
            <w:pPr>
              <w:pStyle w:val="TableParagraph"/>
              <w:ind w:right="380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0,646</w:t>
            </w:r>
          </w:p>
        </w:tc>
        <w:tc>
          <w:tcPr>
            <w:tcW w:w="1489" w:type="dxa"/>
          </w:tcPr>
          <w:p w14:paraId="0FDA67F3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6D80" w:rsidRPr="0065114D" w14:paraId="2996A287" w14:textId="77777777" w:rsidTr="000B1FA4">
        <w:trPr>
          <w:trHeight w:val="274"/>
        </w:trPr>
        <w:tc>
          <w:tcPr>
            <w:tcW w:w="2859" w:type="dxa"/>
            <w:tcBorders>
              <w:bottom w:val="single" w:sz="6" w:space="0" w:color="00B298"/>
            </w:tcBorders>
          </w:tcPr>
          <w:p w14:paraId="51A6D0D5" w14:textId="77777777" w:rsidR="009C6D80" w:rsidRPr="0065114D" w:rsidRDefault="009C6D80" w:rsidP="000B1FA4">
            <w:pPr>
              <w:pStyle w:val="TableParagraph"/>
              <w:ind w:left="4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</w:rPr>
              <w:t>Logistisk</w:t>
            </w:r>
            <w:r w:rsidRPr="0065114D">
              <w:rPr>
                <w:rFonts w:asciiTheme="minorHAnsi" w:hAnsiTheme="minorHAnsi" w:cstheme="minorHAnsi"/>
                <w:color w:val="231F20"/>
                <w:spacing w:val="-2"/>
                <w:w w:val="105"/>
                <w:sz w:val="17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</w:rPr>
              <w:t>regresjonskoeffisient,</w:t>
            </w:r>
            <w:r w:rsidRPr="0065114D">
              <w:rPr>
                <w:rFonts w:asciiTheme="minorHAnsi" w:hAnsiTheme="minorHAnsi" w:cstheme="minorHAnsi"/>
                <w:color w:val="231F20"/>
                <w:spacing w:val="-1"/>
                <w:w w:val="105"/>
                <w:sz w:val="17"/>
              </w:rPr>
              <w:t xml:space="preserve"> </w:t>
            </w:r>
            <w:r w:rsidRPr="0065114D">
              <w:rPr>
                <w:rFonts w:asciiTheme="minorHAnsi" w:hAnsiTheme="minorHAnsi" w:cstheme="minorHAnsi"/>
                <w:color w:val="231F20"/>
                <w:w w:val="105"/>
                <w:sz w:val="17"/>
              </w:rPr>
              <w:t>In(OR):</w:t>
            </w:r>
          </w:p>
        </w:tc>
        <w:tc>
          <w:tcPr>
            <w:tcW w:w="765" w:type="dxa"/>
            <w:tcBorders>
              <w:bottom w:val="single" w:sz="6" w:space="0" w:color="00B298"/>
            </w:tcBorders>
          </w:tcPr>
          <w:p w14:paraId="07A66BB3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8" w:type="dxa"/>
            <w:tcBorders>
              <w:bottom w:val="single" w:sz="6" w:space="0" w:color="00B298"/>
            </w:tcBorders>
          </w:tcPr>
          <w:p w14:paraId="167E7038" w14:textId="77777777" w:rsidR="009C6D80" w:rsidRPr="0065114D" w:rsidRDefault="009C6D80" w:rsidP="000B1FA4">
            <w:pPr>
              <w:pStyle w:val="TableParagraph"/>
              <w:ind w:right="380"/>
              <w:jc w:val="right"/>
              <w:rPr>
                <w:rFonts w:asciiTheme="minorHAnsi" w:hAnsiTheme="minorHAnsi" w:cstheme="minorHAnsi"/>
                <w:sz w:val="17"/>
              </w:rPr>
            </w:pPr>
            <w:r w:rsidRPr="0065114D">
              <w:rPr>
                <w:rFonts w:asciiTheme="minorHAnsi" w:hAnsiTheme="minorHAnsi" w:cstheme="minorHAnsi"/>
                <w:color w:val="231F20"/>
                <w:w w:val="110"/>
                <w:sz w:val="17"/>
              </w:rPr>
              <w:t>–0,436</w:t>
            </w:r>
          </w:p>
        </w:tc>
        <w:tc>
          <w:tcPr>
            <w:tcW w:w="1489" w:type="dxa"/>
            <w:tcBorders>
              <w:bottom w:val="single" w:sz="6" w:space="0" w:color="00B298"/>
            </w:tcBorders>
          </w:tcPr>
          <w:p w14:paraId="0BA3E50C" w14:textId="77777777" w:rsidR="009C6D80" w:rsidRPr="0065114D" w:rsidRDefault="009C6D80" w:rsidP="000B1FA4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41A8464" w14:textId="77777777" w:rsidR="009C6D80" w:rsidRPr="009C6D80" w:rsidRDefault="009C6D80" w:rsidP="009C6D80"/>
    <w:p w14:paraId="7A8A45F8" w14:textId="25AB47A9" w:rsidR="009C6D80" w:rsidRDefault="009C6D80" w:rsidP="009C6D80">
      <w:pPr>
        <w:rPr>
          <w:i/>
          <w:iCs/>
        </w:rPr>
      </w:pPr>
    </w:p>
    <w:sectPr w:rsidR="009C6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3743" w14:textId="77777777" w:rsidR="00C72450" w:rsidRDefault="00C72450" w:rsidP="002D17C6">
      <w:pPr>
        <w:spacing w:after="0" w:line="240" w:lineRule="auto"/>
      </w:pPr>
      <w:r>
        <w:separator/>
      </w:r>
    </w:p>
  </w:endnote>
  <w:endnote w:type="continuationSeparator" w:id="0">
    <w:p w14:paraId="7300B750" w14:textId="77777777" w:rsidR="00C72450" w:rsidRDefault="00C72450" w:rsidP="002D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E0F0" w14:textId="77777777" w:rsidR="00C72450" w:rsidRDefault="00C72450" w:rsidP="002D17C6">
      <w:pPr>
        <w:spacing w:after="0" w:line="240" w:lineRule="auto"/>
      </w:pPr>
      <w:r>
        <w:separator/>
      </w:r>
    </w:p>
  </w:footnote>
  <w:footnote w:type="continuationSeparator" w:id="0">
    <w:p w14:paraId="1D144AC6" w14:textId="77777777" w:rsidR="00C72450" w:rsidRDefault="00C72450" w:rsidP="002D1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5A"/>
    <w:rsid w:val="002141BC"/>
    <w:rsid w:val="002527C2"/>
    <w:rsid w:val="0026237B"/>
    <w:rsid w:val="002D17C6"/>
    <w:rsid w:val="00462F31"/>
    <w:rsid w:val="004D6199"/>
    <w:rsid w:val="00555B5A"/>
    <w:rsid w:val="0058268A"/>
    <w:rsid w:val="005A28D8"/>
    <w:rsid w:val="005A6EB1"/>
    <w:rsid w:val="005C6248"/>
    <w:rsid w:val="0065114D"/>
    <w:rsid w:val="007D1C0A"/>
    <w:rsid w:val="00812FFE"/>
    <w:rsid w:val="00863B52"/>
    <w:rsid w:val="009B2104"/>
    <w:rsid w:val="009C6D80"/>
    <w:rsid w:val="00A77D36"/>
    <w:rsid w:val="00B31861"/>
    <w:rsid w:val="00BA1300"/>
    <w:rsid w:val="00BD10BA"/>
    <w:rsid w:val="00BD5F52"/>
    <w:rsid w:val="00C32751"/>
    <w:rsid w:val="00C72450"/>
    <w:rsid w:val="00CB3A51"/>
    <w:rsid w:val="00CD4F51"/>
    <w:rsid w:val="00CE63B5"/>
    <w:rsid w:val="00D32BB3"/>
    <w:rsid w:val="00E17D8D"/>
    <w:rsid w:val="00E45852"/>
    <w:rsid w:val="00EB0231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B7B6"/>
  <w15:chartTrackingRefBased/>
  <w15:docId w15:val="{DF93D466-4A0C-4BB6-8805-43B0429A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Courir"/>
    <w:basedOn w:val="DefaultParagraphFont"/>
    <w:uiPriority w:val="20"/>
    <w:qFormat/>
    <w:rsid w:val="007D1C0A"/>
    <w:rPr>
      <w:rFonts w:ascii="Courier New" w:hAnsi="Courier New"/>
      <w:i w:val="0"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9C6D80"/>
    <w:pPr>
      <w:widowControl w:val="0"/>
      <w:autoSpaceDE w:val="0"/>
      <w:autoSpaceDN w:val="0"/>
      <w:spacing w:before="44" w:after="0" w:line="240" w:lineRule="auto"/>
    </w:pPr>
    <w:rPr>
      <w:rFonts w:ascii="Gill Sans MT" w:eastAsia="Gill Sans MT" w:hAnsi="Gill Sans MT" w:cs="Gill Sans M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E7212FF2CAE64182E92D730DE65367" ma:contentTypeVersion="9" ma:contentTypeDescription="Opprett et nytt dokument." ma:contentTypeScope="" ma:versionID="423c45d4f61a91664a0ce60becf7e7fe">
  <xsd:schema xmlns:xsd="http://www.w3.org/2001/XMLSchema" xmlns:xs="http://www.w3.org/2001/XMLSchema" xmlns:p="http://schemas.microsoft.com/office/2006/metadata/properties" xmlns:ns2="25a5896a-3317-4cc1-9207-55b63b5078e4" targetNamespace="http://schemas.microsoft.com/office/2006/metadata/properties" ma:root="true" ma:fieldsID="c044f28816471180a4640a9b62c4df4d" ns2:_="">
    <xsd:import namespace="25a5896a-3317-4cc1-9207-55b63b507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896a-3317-4cc1-9207-55b63b507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1906A-DFD0-47E4-BC2B-1A835591E3F8}"/>
</file>

<file path=customXml/itemProps2.xml><?xml version="1.0" encoding="utf-8"?>
<ds:datastoreItem xmlns:ds="http://schemas.openxmlformats.org/officeDocument/2006/customXml" ds:itemID="{6745DA67-9E7B-4EFE-B97A-0EC5652B86D0}"/>
</file>

<file path=customXml/itemProps3.xml><?xml version="1.0" encoding="utf-8"?>
<ds:datastoreItem xmlns:ds="http://schemas.openxmlformats.org/officeDocument/2006/customXml" ds:itemID="{8C39315F-C469-464B-9FF7-4DF4295BB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Ringdal</dc:creator>
  <cp:keywords/>
  <dc:description/>
  <cp:lastModifiedBy>Kristen Ringdal</cp:lastModifiedBy>
  <cp:revision>3</cp:revision>
  <dcterms:created xsi:type="dcterms:W3CDTF">2022-01-10T13:53:00Z</dcterms:created>
  <dcterms:modified xsi:type="dcterms:W3CDTF">2022-01-10T13:57:00Z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0x01010008E7212FF2CAE64182E92D730DE65367</vt:lpwstr>
  </property>
</Properties>
</file>